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EC2F1B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мая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01.05.2022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Периодичность: меся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EC2F1B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1 332 864,00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500 594,26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387 733,71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112 151,5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в том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числе расходы по содержанию органов местного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 числе расходы по содержанию органов местного самоуправления, направленные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муниципальных органов, не относящихся соответственно к органам государственной власти субъекта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17 755,50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5 362,50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меро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воз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строительство  сети автомобильных дорог общего пользования и искусственных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на предоставление межбюджетных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кредитам, полученным из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корпорации - Фонда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олнительных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компенсация выпадающих доходов (дополнительных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равленные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ммой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оенную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ую службу по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 социальной поддержки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ьному социальному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пособия лицам, не подлежащим обязательному социальному страхованию на случай временной нетрудоспособности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Государственные единовременные пособия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мер социа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Единовременные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авшихся без попечения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енка в образовательных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на создание необходимой инфраструктуры на земельных участках, предоставляемых указанной категории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сходы на информационное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2 521 578,85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580 699,27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Федерации и 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2011 - 2020 годы, и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 "Доступная среда" 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ходы, осуществляемые за счет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муниципального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ычайных ситуаций, обеспечение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ходы, осуществляемые за счет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 Государственной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Федерации на 2016 - 2020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муниципального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(2011 - 2020 годы)",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"Информационное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ках реализации мероприятий 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"Развитие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ий, поступающих  в рамках реализации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"Устойчивое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поступающих  в рамках реализации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реализации мероприятий Государственной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льно-экономическое развитие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(Сахалинс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года, и средств  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"Развитие Северо-Кавказского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Крымско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мероприятий Государственной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Федеральной целевой программы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Российской 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й, поступающих  в рамках реализации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325 847,48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2 899,54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ая задолженность по расходам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автономных и бюджетных учреждений на приобретение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субсидии государственным (муниципальным) унитарным предприятиям на осуществление капитальных вложений или приобритение объектов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117 425,63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117 425,63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C2F1B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4A287F" w:rsidTr="004A287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500 594,26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387 733,71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112 151,55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580 699,27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325 847,48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2 899,54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117 425,63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117 425,63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33 137,67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</w:tbl>
                      <w:p w:rsidR="00000000" w:rsidRDefault="00EC2F1B"/>
                    </w:tc>
                  </w:tr>
                </w:tbl>
                <w:p w:rsidR="00000000" w:rsidRDefault="00EC2F1B"/>
              </w:tc>
            </w:tr>
          </w:tbl>
          <w:p w:rsidR="00000000" w:rsidRDefault="00EC2F1B"/>
        </w:tc>
        <w:tc>
          <w:tcPr>
            <w:gridSpan w:val="0"/>
          </w:tcPr>
          <w:p w:rsidR="00000000" w:rsidRDefault="00EC2F1B">
            <w:pPr>
              <w:pStyle w:val="EmptyLayoutCell"/>
            </w:pPr>
          </w:p>
        </w:tc>
      </w:tr>
    </w:tbl>
    <w:p w:rsidR="00000000" w:rsidRDefault="00EC2F1B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31635" w:type="dxa"/>
          </w:tcPr>
          <w:p w:rsidR="00000000" w:rsidRDefault="00EC2F1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0"/>
                            </w:tcPr>
                            <w:p w:rsidR="00000000" w:rsidRDefault="00EC2F1B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суммы, подлежащие исключению в рамках консолидированного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EC2F1B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EC2F1B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EC2F1B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EC2F1B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EC2F1B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EC2F1B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EC2F1B"/>
                          </w:tc>
                        </w:tr>
                      </w:tbl>
                      <w:p w:rsidR="00000000" w:rsidRDefault="00EC2F1B"/>
                    </w:tc>
                  </w:tr>
                </w:tbl>
                <w:p w:rsidR="00000000" w:rsidRDefault="00EC2F1B"/>
              </w:tc>
            </w:tr>
          </w:tbl>
          <w:p w:rsidR="00000000" w:rsidRDefault="00EC2F1B"/>
        </w:tc>
      </w:tr>
    </w:tbl>
    <w:p w:rsidR="00000000" w:rsidRDefault="00EC2F1B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17452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14122" w:type="dxa"/>
          </w:tcPr>
          <w:p w:rsidR="00000000" w:rsidRDefault="00EC2F1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FFFFFF"/>
                    </w:rPr>
                    <w:t>246910a8-6db1-473a-afbb-5fd205d3435e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EC2F1B"/>
              </w:tc>
            </w:tr>
          </w:tbl>
          <w:p w:rsidR="00000000" w:rsidRDefault="00EC2F1B"/>
        </w:tc>
        <w:tc>
          <w:tcPr>
            <w:tcW w:w="14122" w:type="dxa"/>
          </w:tcPr>
          <w:p w:rsidR="00000000" w:rsidRDefault="00EC2F1B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17452" w:type="dxa"/>
          </w:tcPr>
          <w:p w:rsidR="00000000" w:rsidRDefault="00EC2F1B">
            <w:pPr>
              <w:pStyle w:val="EmptyLayoutCell"/>
            </w:pPr>
          </w:p>
        </w:tc>
        <w:tc>
          <w:tcPr>
            <w:tcW w:w="14122" w:type="dxa"/>
          </w:tcPr>
          <w:p w:rsidR="00000000" w:rsidRDefault="00EC2F1B">
            <w:pPr>
              <w:pStyle w:val="EmptyLayoutCell"/>
            </w:pPr>
          </w:p>
        </w:tc>
      </w:tr>
    </w:tbl>
    <w:p w:rsidR="00EC2F1B" w:rsidRDefault="00EC2F1B"/>
    <w:sectPr w:rsidR="00EC2F1B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F1B" w:rsidRDefault="00EC2F1B">
      <w:r>
        <w:separator/>
      </w:r>
    </w:p>
  </w:endnote>
  <w:endnote w:type="continuationSeparator" w:id="0">
    <w:p w:rsidR="00EC2F1B" w:rsidRDefault="00EC2F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F1B" w:rsidRDefault="00EC2F1B">
      <w:r>
        <w:separator/>
      </w:r>
    </w:p>
  </w:footnote>
  <w:footnote w:type="continuationSeparator" w:id="0">
    <w:p w:rsidR="00EC2F1B" w:rsidRDefault="00EC2F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C2F1B">
          <w:pPr>
            <w:pStyle w:val="EmptyLayoutCell"/>
          </w:pPr>
        </w:p>
      </w:tc>
      <w:tc>
        <w:tcPr>
          <w:tcW w:w="4981" w:type="dxa"/>
        </w:tcPr>
        <w:p w:rsidR="00000000" w:rsidRDefault="00EC2F1B">
          <w:pPr>
            <w:pStyle w:val="EmptyLayoutCell"/>
          </w:pPr>
        </w:p>
      </w:tc>
      <w:tc>
        <w:tcPr>
          <w:tcW w:w="18615" w:type="dxa"/>
        </w:tcPr>
        <w:p w:rsidR="00000000" w:rsidRDefault="00EC2F1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C2F1B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EC2F1B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</w:t>
                </w:r>
                <w:r>
                  <w:rPr>
                    <w:rFonts w:ascii="Arial" w:eastAsia="Arial" w:hAnsi="Arial"/>
                    <w:color w:val="000000"/>
                    <w:sz w:val="16"/>
                  </w:rPr>
                  <w:t>орма 0503387, стр. 1</w:t>
                </w:r>
              </w:p>
            </w:tc>
          </w:tr>
        </w:tbl>
        <w:p w:rsidR="00000000" w:rsidRDefault="00EC2F1B"/>
      </w:tc>
      <w:tc>
        <w:tcPr>
          <w:tcW w:w="18615" w:type="dxa"/>
        </w:tcPr>
        <w:p w:rsidR="00000000" w:rsidRDefault="00EC2F1B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EC2F1B">
          <w:pPr>
            <w:pStyle w:val="EmptyLayoutCell"/>
          </w:pPr>
        </w:p>
      </w:tc>
      <w:tc>
        <w:tcPr>
          <w:tcW w:w="4981" w:type="dxa"/>
        </w:tcPr>
        <w:p w:rsidR="00000000" w:rsidRDefault="00EC2F1B">
          <w:pPr>
            <w:pStyle w:val="EmptyLayoutCell"/>
          </w:pPr>
        </w:p>
      </w:tc>
      <w:tc>
        <w:tcPr>
          <w:tcW w:w="18615" w:type="dxa"/>
        </w:tcPr>
        <w:p w:rsidR="00000000" w:rsidRDefault="00EC2F1B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87F"/>
    <w:rsid w:val="004A287F"/>
    <w:rsid w:val="00EC2F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18765</Words>
  <Characters>106965</Characters>
  <Application>Microsoft Office Word</Application>
  <DocSecurity>0</DocSecurity>
  <Lines>891</Lines>
  <Paragraphs>250</Paragraphs>
  <ScaleCrop>false</ScaleCrop>
  <Company>Reanimator Extreme Edition</Company>
  <LinksUpToDate>false</LinksUpToDate>
  <CharactersWithSpaces>125480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2023-02-14T09:23:00Z</dcterms:created>
  <dcterms:modified xsi:type="dcterms:W3CDTF">2023-02-14T09:23:00Z</dcterms:modified>
</cp:coreProperties>
</file>