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4C1755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августа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01.08.2022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Периодичность: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4C1755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вид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1 697 864,00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1 697 864,00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791 051,16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1 294 174,00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1 294 174,00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617 803,21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396 639,00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396 639,00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172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28,95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погашение задолженности по бюджетным кредитам, полученным из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погашение задолженности по бюджетным кредитам, полученным 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направленные на финансовое обеспечение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Выплата региональной доплаты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оходивших военную службу в период с 22 июня 1941 года по 3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 xml:space="preserve">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"Жителю блокадного Ленинграда", лиц, работавших на военных объектах в перио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Государственные пособия лицам, не подлежащим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Реализация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проезд на городском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Единовременное денежное поощрение при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средств, выделенный из резервного фонда исполнительных органов государственной власти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958 233,52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352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целевой программы "Социально-экономическое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 Государственной программы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незавершенного в установленные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375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539,63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3 277,90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 автономным и бюджетным учреждениям на осуществление капитальных вложений или приобритение объектов недвижимого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 государственным (муниципальным) унитарным предп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сфе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4C1755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791 051,16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617 803,21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172 028,95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958 233,52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5 539,63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3 277,90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200 576,20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63 184,42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</w:tbl>
                      <w:p w:rsidR="00000000" w:rsidRDefault="004C1755"/>
                    </w:tc>
                  </w:tr>
                </w:tbl>
                <w:p w:rsidR="00000000" w:rsidRDefault="004C1755"/>
              </w:tc>
            </w:tr>
          </w:tbl>
          <w:p w:rsidR="00000000" w:rsidRDefault="004C1755"/>
        </w:tc>
        <w:tc>
          <w:tcPr>
            <w:gridSpan w:val="0"/>
          </w:tcPr>
          <w:p w:rsidR="00000000" w:rsidRDefault="004C1755">
            <w:pPr>
              <w:pStyle w:val="EmptyLayoutCell"/>
            </w:pPr>
          </w:p>
        </w:tc>
      </w:tr>
    </w:tbl>
    <w:p w:rsidR="00000000" w:rsidRDefault="004C1755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31635" w:type="dxa"/>
          </w:tcPr>
          <w:p w:rsidR="00000000" w:rsidRDefault="004C175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000000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gridSpan w:val="0"/>
                              <w:shd w:val="clear" w:color="000000" w:fill="000000"/>
                            </w:tcPr>
                            <w:p w:rsidR="00000000" w:rsidRDefault="004C1755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/>
                          </w:tc>
                          <w:tc>
                            <w:tcPr>
                              <w:tcW w:w="19049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автономных и бюджетных учреждений на приобретение (изготовление) объектов относящихся к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4C1755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/>
                          </w:tc>
                        </w:tr>
                        <w:tr w:rsidR="00D36839" w:rsidTr="00D3683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бюджеты внутригородских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т.ч.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C1755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C175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C1755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C1755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C1755"/>
                          </w:tc>
                        </w:tr>
                      </w:tbl>
                      <w:p w:rsidR="00000000" w:rsidRDefault="004C1755"/>
                    </w:tc>
                  </w:tr>
                </w:tbl>
                <w:p w:rsidR="00000000" w:rsidRDefault="004C1755"/>
              </w:tc>
            </w:tr>
          </w:tbl>
          <w:p w:rsidR="00000000" w:rsidRDefault="004C1755"/>
        </w:tc>
      </w:tr>
    </w:tbl>
    <w:p w:rsidR="00000000" w:rsidRDefault="004C1755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17452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14122" w:type="dxa"/>
          </w:tcPr>
          <w:p w:rsidR="00000000" w:rsidRDefault="004C175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FFFFFF"/>
                    </w:rPr>
                    <w:t>8b954f61-4650-4661-a7ff-fd0502377013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C1755"/>
              </w:tc>
            </w:tr>
          </w:tbl>
          <w:p w:rsidR="00000000" w:rsidRDefault="004C1755"/>
        </w:tc>
        <w:tc>
          <w:tcPr>
            <w:tcW w:w="14122" w:type="dxa"/>
          </w:tcPr>
          <w:p w:rsidR="00000000" w:rsidRDefault="004C175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17452" w:type="dxa"/>
          </w:tcPr>
          <w:p w:rsidR="00000000" w:rsidRDefault="004C1755">
            <w:pPr>
              <w:pStyle w:val="EmptyLayoutCell"/>
            </w:pPr>
          </w:p>
        </w:tc>
        <w:tc>
          <w:tcPr>
            <w:tcW w:w="14122" w:type="dxa"/>
          </w:tcPr>
          <w:p w:rsidR="00000000" w:rsidRDefault="004C1755">
            <w:pPr>
              <w:pStyle w:val="EmptyLayoutCell"/>
            </w:pPr>
          </w:p>
        </w:tc>
      </w:tr>
    </w:tbl>
    <w:p w:rsidR="004C1755" w:rsidRDefault="004C1755"/>
    <w:sectPr w:rsidR="004C1755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755" w:rsidRDefault="004C1755">
      <w:r>
        <w:separator/>
      </w:r>
    </w:p>
  </w:endnote>
  <w:endnote w:type="continuationSeparator" w:id="0">
    <w:p w:rsidR="004C1755" w:rsidRDefault="004C1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755" w:rsidRDefault="004C1755">
      <w:r>
        <w:separator/>
      </w:r>
    </w:p>
  </w:footnote>
  <w:footnote w:type="continuationSeparator" w:id="0">
    <w:p w:rsidR="004C1755" w:rsidRDefault="004C1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C1755">
          <w:pPr>
            <w:pStyle w:val="EmptyLayoutCell"/>
          </w:pPr>
        </w:p>
      </w:tc>
      <w:tc>
        <w:tcPr>
          <w:tcW w:w="4981" w:type="dxa"/>
        </w:tcPr>
        <w:p w:rsidR="00000000" w:rsidRDefault="004C1755">
          <w:pPr>
            <w:pStyle w:val="EmptyLayoutCell"/>
          </w:pPr>
        </w:p>
      </w:tc>
      <w:tc>
        <w:tcPr>
          <w:tcW w:w="18615" w:type="dxa"/>
        </w:tcPr>
        <w:p w:rsidR="00000000" w:rsidRDefault="004C1755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C1755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4C1755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4C1755"/>
      </w:tc>
      <w:tc>
        <w:tcPr>
          <w:tcW w:w="18615" w:type="dxa"/>
        </w:tcPr>
        <w:p w:rsidR="00000000" w:rsidRDefault="004C1755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C1755">
          <w:pPr>
            <w:pStyle w:val="EmptyLayoutCell"/>
          </w:pPr>
        </w:p>
      </w:tc>
      <w:tc>
        <w:tcPr>
          <w:tcW w:w="4981" w:type="dxa"/>
        </w:tcPr>
        <w:p w:rsidR="00000000" w:rsidRDefault="004C1755">
          <w:pPr>
            <w:pStyle w:val="EmptyLayoutCell"/>
          </w:pPr>
        </w:p>
      </w:tc>
      <w:tc>
        <w:tcPr>
          <w:tcW w:w="18615" w:type="dxa"/>
        </w:tcPr>
        <w:p w:rsidR="00000000" w:rsidRDefault="004C1755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839"/>
    <w:rsid w:val="004C1755"/>
    <w:rsid w:val="00D3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18749</Words>
  <Characters>106870</Characters>
  <Application>Microsoft Office Word</Application>
  <DocSecurity>0</DocSecurity>
  <Lines>890</Lines>
  <Paragraphs>250</Paragraphs>
  <ScaleCrop>false</ScaleCrop>
  <Company>Reanimator Extreme Edition</Company>
  <LinksUpToDate>false</LinksUpToDate>
  <CharactersWithSpaces>125369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2023-02-14T10:12:00Z</dcterms:created>
  <dcterms:modified xsi:type="dcterms:W3CDTF">2023-02-14T10:12:00Z</dcterms:modified>
</cp:coreProperties>
</file>